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D7D" w:rsidRPr="000677C4" w:rsidRDefault="00754D7D" w:rsidP="00754D7D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677C4">
        <w:rPr>
          <w:rFonts w:ascii="Times New Roman" w:hAnsi="Times New Roman"/>
          <w:b/>
          <w:sz w:val="28"/>
          <w:szCs w:val="28"/>
        </w:rPr>
        <w:t>Як роботодавцю з’ясувати, є е-лікарняний первинним чи продовженням?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 xml:space="preserve">На відміну від допомог по вагітності та пологах, компенсації заробітку за час догляду за хворою дитиною та інших допомог, які фінансуються за кошти Фонду соціального страхування України з першого дня і до завершення тимчасової втрати працездатності, у випадку загальних захворювань або травм перші п’ять днів непрацездатності оплачуються за кошти роботодавця. А починаючи з шостого дня і до одужання – фінансуються ФССУ. 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677C4">
        <w:rPr>
          <w:rFonts w:ascii="Times New Roman" w:hAnsi="Times New Roman"/>
          <w:b/>
          <w:sz w:val="28"/>
          <w:szCs w:val="28"/>
        </w:rPr>
        <w:t>Як роботодавцю з’ясувати, є е-лікарняний первинним чи продовженням?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 xml:space="preserve">● Роботодавець оплачує лише перші п’ять днів одного випадку тимчасової непрацездатності свого працівника незалежно від кількості лікарняних листків, якими його оформлено. Тож страхувальнику важливо знати, чи є різні лікарняні виданими в межах одного страхового випадку. 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>● У паперових листках непрацездатності на бланку наявна відмітка «первинний» або «продовження», однак в е-лікарняних така позначка відсутня.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 xml:space="preserve">● На підставі даних медичних висновків, що складають один випадок тимчасової непрацездатності, в порядку черговості формуються е-лікарняні, кожен наступний з яких створюється як продовження першого та разом складають один страховий випадок. 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>● Тож унікальний номер випадку непрацездатності для всіх електронних лікарняних, сформованих в межах одного випадку, буде співпадати.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>● При цьому номери самих е-лікарняних можуть відрізнятися, навіть якщо всі вони видані як продовження.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>● Аби і працівник, і роботодавець могли побачити зв’язок е-лікарняних, Пенсійний фонд України оновив інтерфейси особистих кабінетів на вебпорталі електронних послуг – відтепер там доступні розширені можливості деталізованого перегляду е-лікарняних.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>● Зокрема, було додано інформацію щодо номеру випадку тимчасової непрацездатності, який раніше був недоступний для перегляду страхувальниками і застрахованими особами.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>● Тож тепер аби з’ясувати, є е-лікарняний первинним чи продовженням, достатньо звернути увагу на унікальний номер страхового випадку.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lastRenderedPageBreak/>
        <w:t>● Якщо в працівника декілька електронних лікарняних, створених як продовження, всі вони матимуть однаковий унікальний номер – «номер випадку непрацездатності».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>● Крім того, в інтерфейсі з’явилась інформація про наявність ознак алкогольного/наркотичного сп’яніння пацієнта, порушення ним режиму лікування, а також щодо причини непрацездатності, зокрема, встановленої ФССУ (наприклад, щодо зв’язку хвороби або травми із виробництвом).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>Гаряча лінія з питань користування особистими кабінетами на порталі електронних послуг Пенсійного фонду України: 0-800-503-753</w:t>
      </w:r>
    </w:p>
    <w:p w:rsidR="00754D7D" w:rsidRPr="000677C4" w:rsidRDefault="00754D7D" w:rsidP="00754D7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0677C4">
        <w:rPr>
          <w:rFonts w:ascii="Times New Roman" w:hAnsi="Times New Roman"/>
          <w:sz w:val="28"/>
          <w:szCs w:val="28"/>
        </w:rPr>
        <w:t>Гаряча лінія щодо оплати е-лікарняних і подання за ними заяв-розрахунків: 0-800-501-892</w:t>
      </w:r>
    </w:p>
    <w:p w:rsidR="00FB0071" w:rsidRPr="000677C4" w:rsidRDefault="00FB0071" w:rsidP="0087361F">
      <w:pPr>
        <w:ind w:left="4956" w:firstLine="714"/>
        <w:rPr>
          <w:rFonts w:ascii="Times New Roman" w:hAnsi="Times New Roman" w:cs="Times New Roman"/>
          <w:b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677C4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4D7D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146C8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2021-09-02T11:56:00Z</dcterms:created>
  <dcterms:modified xsi:type="dcterms:W3CDTF">2021-09-02T11:56:00Z</dcterms:modified>
</cp:coreProperties>
</file>